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65" w:rsidRPr="00593865" w:rsidRDefault="003E4665" w:rsidP="00070957">
      <w:pPr>
        <w:jc w:val="both"/>
        <w:rPr>
          <w:rFonts w:asciiTheme="majorHAnsi" w:hAnsiTheme="majorHAnsi"/>
          <w:sz w:val="22"/>
          <w:szCs w:val="22"/>
        </w:rPr>
      </w:pPr>
    </w:p>
    <w:p w:rsidR="003E4665" w:rsidRPr="00593865" w:rsidRDefault="003E4665" w:rsidP="00070957">
      <w:pPr>
        <w:jc w:val="both"/>
        <w:rPr>
          <w:rFonts w:asciiTheme="majorHAnsi" w:hAnsiTheme="majorHAnsi"/>
          <w:sz w:val="22"/>
          <w:szCs w:val="22"/>
        </w:rPr>
        <w:sectPr w:rsidR="003E4665" w:rsidRPr="00593865" w:rsidSect="00070957">
          <w:pgSz w:w="8400" w:h="11900"/>
          <w:pgMar w:top="851" w:right="887" w:bottom="426" w:left="709" w:header="0" w:footer="3" w:gutter="0"/>
          <w:cols w:space="720"/>
          <w:noEndnote/>
          <w:docGrid w:linePitch="360"/>
        </w:sectPr>
      </w:pPr>
    </w:p>
    <w:p w:rsidR="003E4665" w:rsidRPr="00593865" w:rsidRDefault="008F3F78" w:rsidP="00070957">
      <w:pPr>
        <w:jc w:val="both"/>
        <w:rPr>
          <w:rFonts w:asciiTheme="majorHAnsi" w:hAnsiTheme="majorHAnsi"/>
          <w:sz w:val="44"/>
          <w:szCs w:val="44"/>
        </w:rPr>
      </w:pPr>
      <w:bookmarkStart w:id="0" w:name="bookmark0"/>
      <w:r w:rsidRPr="00593865">
        <w:rPr>
          <w:rFonts w:asciiTheme="majorHAnsi" w:hAnsiTheme="majorHAnsi"/>
          <w:sz w:val="44"/>
          <w:szCs w:val="44"/>
        </w:rPr>
        <w:lastRenderedPageBreak/>
        <w:t>Samoczynne szybkie wyłączenie zasilania w sieciach typu TT</w:t>
      </w:r>
      <w:bookmarkEnd w:id="0"/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  <w:bookmarkStart w:id="1" w:name="bookmark1"/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</w:p>
    <w:p w:rsidR="00070957" w:rsidRDefault="00593865" w:rsidP="0007095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Zadanie:</w:t>
      </w:r>
    </w:p>
    <w:p w:rsidR="00070957" w:rsidRDefault="00593865" w:rsidP="00070957">
      <w:pPr>
        <w:jc w:val="both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Korzystając poniższego opracowania zrób w zeszycie krótką notatkę i prześlij jej zdjęcie lub skan na adres </w:t>
      </w:r>
      <w:hyperlink r:id="rId7" w:history="1">
        <w:r w:rsidRPr="00393E8D">
          <w:rPr>
            <w:rStyle w:val="Hipercze"/>
            <w:rFonts w:asciiTheme="majorHAnsi" w:hAnsiTheme="majorHAnsi"/>
            <w:sz w:val="22"/>
            <w:szCs w:val="22"/>
          </w:rPr>
          <w:t>pracujemyzsz3@wp.pl</w:t>
        </w:r>
      </w:hyperlink>
      <w:r>
        <w:rPr>
          <w:rFonts w:asciiTheme="majorHAnsi" w:hAnsiTheme="majorHAnsi"/>
          <w:color w:val="FF0000"/>
          <w:sz w:val="22"/>
          <w:szCs w:val="22"/>
        </w:rPr>
        <w:t>.</w:t>
      </w:r>
    </w:p>
    <w:p w:rsidR="00593865" w:rsidRDefault="00593865" w:rsidP="00070957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593865" w:rsidRPr="00593865" w:rsidRDefault="00593865" w:rsidP="00070957">
      <w:pPr>
        <w:jc w:val="both"/>
        <w:rPr>
          <w:rFonts w:asciiTheme="majorHAnsi" w:hAnsiTheme="majorHAnsi"/>
          <w:color w:val="auto"/>
          <w:sz w:val="22"/>
          <w:szCs w:val="22"/>
          <w:u w:val="single"/>
        </w:rPr>
      </w:pPr>
      <w:r w:rsidRPr="00593865">
        <w:rPr>
          <w:rFonts w:asciiTheme="majorHAnsi" w:hAnsiTheme="majorHAnsi"/>
          <w:color w:val="auto"/>
          <w:sz w:val="22"/>
          <w:szCs w:val="22"/>
          <w:u w:val="single"/>
        </w:rPr>
        <w:t xml:space="preserve">Odpowiedz na pytania w teście do którego zaproszenie otrzymasz na adres mailowy podany do dziennika vulcan. W razie problemów technicznych z testem proszę o kontakt. </w:t>
      </w:r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t>ZAPAMIĘTAJ</w:t>
      </w:r>
      <w:bookmarkEnd w:id="1"/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t>Samoczynne szybkie wyłączenie zasilania w sieciach typu TT następuje w wyniku zastoso</w:t>
      </w:r>
      <w:r w:rsidRPr="00593865">
        <w:rPr>
          <w:rFonts w:asciiTheme="majorHAnsi" w:hAnsiTheme="majorHAnsi"/>
          <w:sz w:val="22"/>
          <w:szCs w:val="22"/>
        </w:rPr>
        <w:softHyphen/>
        <w:t>wania urządzeń zabezpieczających:</w:t>
      </w:r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t>przetężeniowych (wyłączniki, bezpieczniki),</w:t>
      </w:r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t>urządzeń różnicowoprądowych.</w:t>
      </w:r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t>Jeżeli nie mogą być stosowane wymienione urządzenia zabezpieczające lub nie są one skuteczne, można zastosować ochronne wyłączniki napięciowe.</w:t>
      </w:r>
    </w:p>
    <w:p w:rsidR="003E4665" w:rsidRPr="00593865" w:rsidRDefault="008F3F78" w:rsidP="00070957">
      <w:pPr>
        <w:jc w:val="both"/>
        <w:rPr>
          <w:rFonts w:asciiTheme="majorHAnsi" w:hAnsiTheme="majorHAnsi"/>
          <w:b/>
          <w:sz w:val="22"/>
          <w:szCs w:val="22"/>
        </w:rPr>
      </w:pPr>
      <w:r w:rsidRPr="00593865">
        <w:rPr>
          <w:rFonts w:asciiTheme="majorHAnsi" w:hAnsiTheme="majorHAnsi"/>
          <w:b/>
          <w:sz w:val="22"/>
          <w:szCs w:val="22"/>
        </w:rPr>
        <w:t>Ochrona jest skuteczna, gdy został spełniony warunek:</w:t>
      </w:r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</w:p>
    <w:p w:rsidR="00070957" w:rsidRPr="00593865" w:rsidRDefault="00573CB4" w:rsidP="00070957">
      <w:p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55pt;margin-top:3.55pt;width:36pt;height:21.1pt;z-index:-125829376;mso-wrap-distance-left:173.75pt;mso-wrap-distance-right:174pt;mso-position-horizontal-relative:margin" wrapcoords="0 0 21600 0 21600 21600 0 21600 0 0">
            <v:imagedata r:id="rId8" o:title="image1"/>
            <w10:wrap type="topAndBottom" anchorx="margin"/>
          </v:shape>
        </w:pict>
      </w:r>
      <w:r w:rsidR="00070957" w:rsidRPr="00593865">
        <w:rPr>
          <w:rFonts w:asciiTheme="majorHAnsi" w:hAnsiTheme="majorHAnsi"/>
          <w:sz w:val="18"/>
          <w:szCs w:val="18"/>
        </w:rPr>
        <w:t>gdzie</w:t>
      </w:r>
    </w:p>
    <w:p w:rsidR="00070957" w:rsidRPr="00593865" w:rsidRDefault="008F3F78" w:rsidP="00070957">
      <w:p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t>R</w:t>
      </w:r>
      <w:r w:rsidR="00070957" w:rsidRPr="00593865">
        <w:rPr>
          <w:rFonts w:asciiTheme="majorHAnsi" w:hAnsiTheme="majorHAnsi"/>
          <w:sz w:val="18"/>
          <w:szCs w:val="18"/>
          <w:vertAlign w:val="subscript"/>
        </w:rPr>
        <w:t>A</w:t>
      </w:r>
      <w:r w:rsidRPr="00593865">
        <w:rPr>
          <w:rFonts w:asciiTheme="majorHAnsi" w:hAnsiTheme="majorHAnsi"/>
          <w:sz w:val="18"/>
          <w:szCs w:val="18"/>
        </w:rPr>
        <w:t xml:space="preserve"> - suma rezystancji uziemienia uziomu i przewodu ochronnego części przewodzących dostępnych (w Cl);</w:t>
      </w:r>
      <w:r w:rsidR="00070957" w:rsidRPr="00593865">
        <w:rPr>
          <w:rFonts w:asciiTheme="majorHAnsi" w:hAnsiTheme="majorHAnsi"/>
          <w:sz w:val="18"/>
          <w:szCs w:val="18"/>
        </w:rPr>
        <w:t xml:space="preserve"> </w:t>
      </w:r>
    </w:p>
    <w:p w:rsidR="003E4665" w:rsidRPr="00593865" w:rsidRDefault="00070957" w:rsidP="00070957">
      <w:p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t>U</w:t>
      </w:r>
      <w:r w:rsidRPr="00593865">
        <w:rPr>
          <w:rFonts w:asciiTheme="majorHAnsi" w:hAnsiTheme="majorHAnsi"/>
          <w:sz w:val="18"/>
          <w:szCs w:val="18"/>
          <w:vertAlign w:val="subscript"/>
        </w:rPr>
        <w:t>L</w:t>
      </w:r>
      <w:r w:rsidRPr="00593865">
        <w:rPr>
          <w:rFonts w:asciiTheme="majorHAnsi" w:hAnsiTheme="majorHAnsi"/>
          <w:sz w:val="18"/>
          <w:szCs w:val="18"/>
        </w:rPr>
        <w:t xml:space="preserve"> - graniczne dopuszczalne długotrwale napięcie dotykowe</w:t>
      </w:r>
    </w:p>
    <w:p w:rsidR="003E4665" w:rsidRPr="00593865" w:rsidRDefault="008F3F78" w:rsidP="00070957">
      <w:p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t>I</w:t>
      </w:r>
      <w:r w:rsidRPr="00593865">
        <w:rPr>
          <w:rFonts w:asciiTheme="majorHAnsi" w:hAnsiTheme="majorHAnsi"/>
          <w:sz w:val="18"/>
          <w:szCs w:val="18"/>
          <w:vertAlign w:val="subscript"/>
        </w:rPr>
        <w:t>a</w:t>
      </w:r>
      <w:r w:rsidRPr="00593865">
        <w:rPr>
          <w:rFonts w:asciiTheme="majorHAnsi" w:hAnsiTheme="majorHAnsi"/>
          <w:sz w:val="18"/>
          <w:szCs w:val="18"/>
        </w:rPr>
        <w:t xml:space="preserve"> - prąd zapewniający szybkie samoczynne zadziałanie urządzenia zabezpieczającego:</w:t>
      </w:r>
    </w:p>
    <w:p w:rsidR="003E4665" w:rsidRPr="00593865" w:rsidRDefault="008F3F78" w:rsidP="0007095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t>dla urządzeń różnicowoprądowych zwykłych I</w:t>
      </w:r>
      <w:r w:rsidRPr="00593865">
        <w:rPr>
          <w:rFonts w:asciiTheme="majorHAnsi" w:hAnsiTheme="majorHAnsi"/>
          <w:sz w:val="18"/>
          <w:szCs w:val="18"/>
          <w:vertAlign w:val="subscript"/>
        </w:rPr>
        <w:t>a</w:t>
      </w:r>
      <w:r w:rsidRPr="00593865">
        <w:rPr>
          <w:rFonts w:asciiTheme="majorHAnsi" w:hAnsiTheme="majorHAnsi"/>
          <w:sz w:val="18"/>
          <w:szCs w:val="18"/>
        </w:rPr>
        <w:t xml:space="preserve"> = </w:t>
      </w:r>
      <w:r w:rsidR="00070957" w:rsidRPr="00593865">
        <w:rPr>
          <w:rFonts w:asciiTheme="majorHAnsi" w:hAnsiTheme="majorHAnsi"/>
          <w:sz w:val="18"/>
          <w:szCs w:val="18"/>
        </w:rPr>
        <w:t>I</w:t>
      </w:r>
      <w:r w:rsidR="00070957" w:rsidRPr="00593865">
        <w:rPr>
          <w:rFonts w:asciiTheme="majorHAnsi" w:hAnsiTheme="majorHAnsi"/>
          <w:sz w:val="18"/>
          <w:szCs w:val="18"/>
          <w:vertAlign w:val="subscript"/>
        </w:rPr>
        <w:t></w:t>
      </w:r>
      <w:r w:rsidRPr="00593865">
        <w:rPr>
          <w:rFonts w:asciiTheme="majorHAnsi" w:hAnsiTheme="majorHAnsi"/>
          <w:sz w:val="18"/>
          <w:szCs w:val="18"/>
          <w:vertAlign w:val="subscript"/>
        </w:rPr>
        <w:t>n</w:t>
      </w:r>
      <w:r w:rsidRPr="00593865">
        <w:rPr>
          <w:rFonts w:asciiTheme="majorHAnsi" w:hAnsiTheme="majorHAnsi"/>
          <w:sz w:val="18"/>
          <w:szCs w:val="18"/>
        </w:rPr>
        <w:t>;</w:t>
      </w:r>
    </w:p>
    <w:p w:rsidR="003E4665" w:rsidRPr="00593865" w:rsidRDefault="008F3F78" w:rsidP="0007095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t xml:space="preserve">dla urządzeń różnicowoprądowych selektywnych typu S </w:t>
      </w:r>
      <w:r w:rsidR="00070957" w:rsidRPr="00593865">
        <w:rPr>
          <w:rFonts w:asciiTheme="majorHAnsi" w:hAnsiTheme="majorHAnsi"/>
          <w:sz w:val="18"/>
          <w:szCs w:val="18"/>
        </w:rPr>
        <w:t>I</w:t>
      </w:r>
      <w:r w:rsidR="00070957" w:rsidRPr="00593865">
        <w:rPr>
          <w:rFonts w:asciiTheme="majorHAnsi" w:hAnsiTheme="majorHAnsi"/>
          <w:sz w:val="18"/>
          <w:szCs w:val="18"/>
          <w:vertAlign w:val="subscript"/>
        </w:rPr>
        <w:t>a</w:t>
      </w:r>
      <w:r w:rsidR="00070957" w:rsidRPr="00593865">
        <w:rPr>
          <w:rFonts w:asciiTheme="majorHAnsi" w:hAnsiTheme="majorHAnsi"/>
          <w:sz w:val="18"/>
          <w:szCs w:val="18"/>
        </w:rPr>
        <w:t xml:space="preserve"> = 2I</w:t>
      </w:r>
      <w:r w:rsidR="00070957" w:rsidRPr="00593865">
        <w:rPr>
          <w:rFonts w:asciiTheme="majorHAnsi" w:hAnsiTheme="majorHAnsi"/>
          <w:sz w:val="18"/>
          <w:szCs w:val="18"/>
          <w:vertAlign w:val="subscript"/>
        </w:rPr>
        <w:t>n</w:t>
      </w:r>
      <w:r w:rsidR="00070957" w:rsidRPr="00593865">
        <w:rPr>
          <w:rFonts w:asciiTheme="majorHAnsi" w:hAnsiTheme="majorHAnsi"/>
          <w:sz w:val="18"/>
          <w:szCs w:val="18"/>
        </w:rPr>
        <w:t xml:space="preserve"> </w:t>
      </w:r>
      <w:r w:rsidRPr="00593865">
        <w:rPr>
          <w:rFonts w:asciiTheme="majorHAnsi" w:hAnsiTheme="majorHAnsi"/>
          <w:sz w:val="18"/>
          <w:szCs w:val="18"/>
        </w:rPr>
        <w:t>(w sieciach roz</w:t>
      </w:r>
      <w:r w:rsidRPr="00593865">
        <w:rPr>
          <w:rFonts w:asciiTheme="majorHAnsi" w:hAnsiTheme="majorHAnsi"/>
          <w:sz w:val="18"/>
          <w:szCs w:val="18"/>
        </w:rPr>
        <w:softHyphen/>
        <w:t>dzielczych przy stosowaniu urządzeń różnicowoprądowych selektywnych dopuszcza się pewną zwłokę czasową, nie przekraczającą jednak 1 s);</w:t>
      </w:r>
    </w:p>
    <w:p w:rsidR="003E4665" w:rsidRPr="00593865" w:rsidRDefault="008F3F78" w:rsidP="0007095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t>dla urządzeń przetężeniowych o zależnej charakterystyce prądowo-czasowej, prąd Ia powinien zapewnić samoczynne wyłączenie zasilania w czasie nie dłuższym niż 5 s;</w:t>
      </w:r>
    </w:p>
    <w:p w:rsidR="00070957" w:rsidRPr="00593865" w:rsidRDefault="00070957" w:rsidP="0007095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lastRenderedPageBreak/>
        <w:t>d</w:t>
      </w:r>
      <w:r w:rsidR="008F3F78" w:rsidRPr="00593865">
        <w:rPr>
          <w:rFonts w:asciiTheme="majorHAnsi" w:hAnsiTheme="majorHAnsi"/>
          <w:sz w:val="18"/>
          <w:szCs w:val="18"/>
        </w:rPr>
        <w:t>la urządzeń przetężeniowych o działaniu bezzwłocznym prąd I</w:t>
      </w:r>
      <w:r w:rsidR="008F3F78" w:rsidRPr="00593865">
        <w:rPr>
          <w:rFonts w:asciiTheme="majorHAnsi" w:hAnsiTheme="majorHAnsi"/>
          <w:sz w:val="18"/>
          <w:szCs w:val="18"/>
          <w:vertAlign w:val="subscript"/>
        </w:rPr>
        <w:t>a</w:t>
      </w:r>
      <w:r w:rsidR="008F3F78" w:rsidRPr="00593865">
        <w:rPr>
          <w:rFonts w:asciiTheme="majorHAnsi" w:hAnsiTheme="majorHAnsi"/>
          <w:sz w:val="18"/>
          <w:szCs w:val="18"/>
        </w:rPr>
        <w:t xml:space="preserve"> jest najmniejszą wartością zapewniającą bezzwłoczne wyłączenie;</w:t>
      </w:r>
      <w:r w:rsidRPr="00593865">
        <w:rPr>
          <w:rFonts w:asciiTheme="majorHAnsi" w:hAnsiTheme="majorHAnsi"/>
          <w:sz w:val="18"/>
          <w:szCs w:val="18"/>
        </w:rPr>
        <w:t xml:space="preserve"> </w:t>
      </w:r>
    </w:p>
    <w:p w:rsidR="00070957" w:rsidRPr="00593865" w:rsidRDefault="00070957" w:rsidP="00070957">
      <w:pPr>
        <w:jc w:val="both"/>
        <w:rPr>
          <w:rFonts w:asciiTheme="majorHAnsi" w:hAnsiTheme="majorHAnsi"/>
          <w:sz w:val="18"/>
          <w:szCs w:val="18"/>
        </w:rPr>
      </w:pPr>
    </w:p>
    <w:p w:rsidR="00070957" w:rsidRPr="00593865" w:rsidRDefault="00573CB4" w:rsidP="00070957">
      <w:p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8.95pt;margin-top:30.75pt;width:11.3pt;height:30pt;z-index:-251658240;mso-wrap-distance-left:26.15pt;mso-wrap-distance-right:25.45pt;mso-position-horizontal-relative:margin" filled="f" stroked="f">
            <v:textbox style="mso-fit-shape-to-text:t" inset="0,0,0,0">
              <w:txbxContent>
                <w:p w:rsidR="00070957" w:rsidRDefault="00070957" w:rsidP="00070957">
                  <w:pPr>
                    <w:pStyle w:val="Podpisobrazu"/>
                    <w:shd w:val="clear" w:color="auto" w:fill="auto"/>
                    <w:spacing w:line="200" w:lineRule="exact"/>
                  </w:pPr>
                  <w:r>
                    <w:t>L1</w:t>
                  </w:r>
                </w:p>
                <w:p w:rsidR="00070957" w:rsidRDefault="00070957" w:rsidP="00070957">
                  <w:pPr>
                    <w:pStyle w:val="Podpisobrazu"/>
                    <w:shd w:val="clear" w:color="auto" w:fill="auto"/>
                    <w:spacing w:line="200" w:lineRule="exact"/>
                  </w:pPr>
                  <w:r>
                    <w:t>L2</w:t>
                  </w:r>
                </w:p>
                <w:p w:rsidR="00070957" w:rsidRDefault="00070957" w:rsidP="00070957">
                  <w:pPr>
                    <w:pStyle w:val="Podpisobrazu"/>
                    <w:shd w:val="clear" w:color="auto" w:fill="auto"/>
                    <w:spacing w:line="200" w:lineRule="exact"/>
                  </w:pPr>
                  <w:r>
                    <w:t>L3</w:t>
                  </w:r>
                </w:p>
              </w:txbxContent>
            </v:textbox>
            <w10:wrap type="topAndBottom" anchorx="margin"/>
          </v:shape>
        </w:pict>
      </w:r>
      <w:r w:rsidR="00070957" w:rsidRPr="00593865">
        <w:rPr>
          <w:rFonts w:asciiTheme="majorHAnsi" w:hAnsiTheme="majorHAnsi"/>
          <w:noProof/>
          <w:sz w:val="18"/>
          <w:szCs w:val="18"/>
          <w:lang w:bidi="ar-SA"/>
        </w:rPr>
        <w:drawing>
          <wp:anchor distT="0" distB="0" distL="332105" distR="323215" simplePos="0" relativeHeight="377490176" behindDoc="1" locked="0" layoutInCell="1" allowOverlap="1">
            <wp:simplePos x="0" y="0"/>
            <wp:positionH relativeFrom="margin">
              <wp:posOffset>330835</wp:posOffset>
            </wp:positionH>
            <wp:positionV relativeFrom="paragraph">
              <wp:posOffset>187325</wp:posOffset>
            </wp:positionV>
            <wp:extent cx="3948430" cy="3317240"/>
            <wp:effectExtent l="19050" t="0" r="0" b="0"/>
            <wp:wrapTopAndBottom/>
            <wp:docPr id="2" name="Obraz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331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957" w:rsidRPr="00593865" w:rsidRDefault="00070957" w:rsidP="00070957">
      <w:pPr>
        <w:jc w:val="both"/>
        <w:rPr>
          <w:rFonts w:asciiTheme="majorHAnsi" w:hAnsiTheme="majorHAnsi"/>
          <w:sz w:val="18"/>
          <w:szCs w:val="18"/>
        </w:rPr>
      </w:pPr>
    </w:p>
    <w:p w:rsidR="00070957" w:rsidRPr="00593865" w:rsidRDefault="00070957" w:rsidP="00070957">
      <w:pPr>
        <w:jc w:val="both"/>
        <w:rPr>
          <w:rFonts w:asciiTheme="majorHAnsi" w:hAnsiTheme="majorHAnsi"/>
          <w:sz w:val="18"/>
          <w:szCs w:val="18"/>
        </w:rPr>
      </w:pPr>
    </w:p>
    <w:p w:rsidR="00070957" w:rsidRPr="00593865" w:rsidRDefault="00070957" w:rsidP="00070957">
      <w:pPr>
        <w:jc w:val="both"/>
        <w:rPr>
          <w:rFonts w:asciiTheme="majorHAnsi" w:hAnsiTheme="majorHAnsi"/>
          <w:sz w:val="18"/>
          <w:szCs w:val="18"/>
        </w:rPr>
      </w:pPr>
    </w:p>
    <w:p w:rsidR="003E4665" w:rsidRPr="00593865" w:rsidRDefault="008F3F78" w:rsidP="00070957">
      <w:pPr>
        <w:jc w:val="both"/>
        <w:rPr>
          <w:rFonts w:asciiTheme="majorHAnsi" w:hAnsiTheme="majorHAnsi"/>
          <w:sz w:val="18"/>
          <w:szCs w:val="18"/>
        </w:rPr>
      </w:pPr>
      <w:r w:rsidRPr="00593865">
        <w:rPr>
          <w:rFonts w:asciiTheme="majorHAnsi" w:hAnsiTheme="majorHAnsi"/>
          <w:sz w:val="18"/>
          <w:szCs w:val="18"/>
        </w:rPr>
        <w:t>Ochrona przy dotyku pośrednim w sieci typu TT: a), b) prądu przemiennego, c) prądu stałego</w:t>
      </w:r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18"/>
          <w:szCs w:val="18"/>
        </w:rPr>
        <w:t>1 - urządzenia zabezpieczające zapewniające szybkie wyłączenie zasilania w przypadku uszkodzeń stwarzają</w:t>
      </w:r>
      <w:r w:rsidRPr="00593865">
        <w:rPr>
          <w:rFonts w:asciiTheme="majorHAnsi" w:hAnsiTheme="majorHAnsi"/>
          <w:sz w:val="18"/>
          <w:szCs w:val="18"/>
        </w:rPr>
        <w:softHyphen/>
        <w:t>cych zagrożenie porażeniowe; 2 — odbiornik II klasy ochronności</w:t>
      </w:r>
      <w:r w:rsidRPr="00593865">
        <w:rPr>
          <w:rFonts w:asciiTheme="majorHAnsi" w:hAnsiTheme="majorHAnsi"/>
          <w:sz w:val="22"/>
          <w:szCs w:val="22"/>
        </w:rPr>
        <w:br w:type="page"/>
      </w:r>
    </w:p>
    <w:p w:rsidR="00070957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lastRenderedPageBreak/>
        <w:t xml:space="preserve">Ze wzoru </w:t>
      </w:r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noProof/>
          <w:sz w:val="22"/>
          <w:szCs w:val="22"/>
          <w:lang w:bidi="ar-SA"/>
        </w:rPr>
        <w:drawing>
          <wp:anchor distT="0" distB="0" distL="2206625" distR="2209800" simplePos="0" relativeHeight="377491200" behindDoc="1" locked="0" layoutInCell="1" allowOverlap="1">
            <wp:simplePos x="0" y="0"/>
            <wp:positionH relativeFrom="margin">
              <wp:posOffset>1626235</wp:posOffset>
            </wp:positionH>
            <wp:positionV relativeFrom="paragraph">
              <wp:posOffset>206375</wp:posOffset>
            </wp:positionV>
            <wp:extent cx="458470" cy="269240"/>
            <wp:effectExtent l="19050" t="0" r="0" b="0"/>
            <wp:wrapTopAndBottom/>
            <wp:docPr id="11" name="Obraz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</w:p>
    <w:p w:rsidR="00070957" w:rsidRPr="00593865" w:rsidRDefault="00070957" w:rsidP="00070957">
      <w:pPr>
        <w:jc w:val="both"/>
        <w:rPr>
          <w:rFonts w:asciiTheme="majorHAnsi" w:hAnsiTheme="majorHAnsi"/>
          <w:sz w:val="22"/>
          <w:szCs w:val="22"/>
        </w:rPr>
      </w:pPr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t>wynika, że przy dużych wartościach prądów znamionowych urządzeń ochronnych przetężeniowych rezystancja Ra ma bardzo małą wartość (nawet dziesiętne części oma). W rezultacie oznacza to ograniczony zakres stosowania tego typu urządzeń.</w:t>
      </w:r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t>Mogą być one stosowane w urządzeniach o niewielkich mocach i prądach znamio</w:t>
      </w:r>
      <w:r w:rsidRPr="00593865">
        <w:rPr>
          <w:rFonts w:asciiTheme="majorHAnsi" w:hAnsiTheme="majorHAnsi"/>
          <w:sz w:val="22"/>
          <w:szCs w:val="22"/>
        </w:rPr>
        <w:softHyphen/>
        <w:t>nowych.</w:t>
      </w:r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t>Jeżeli nie może być spełniony warunek zapewniający samoczynne szybkie wyłączenie zasilania w wymaganym czasie, należy wykonać dodatkowe miejscowe połączenia wyrów</w:t>
      </w:r>
      <w:r w:rsidRPr="00593865">
        <w:rPr>
          <w:rFonts w:asciiTheme="majorHAnsi" w:hAnsiTheme="majorHAnsi"/>
          <w:sz w:val="22"/>
          <w:szCs w:val="22"/>
        </w:rPr>
        <w:softHyphen/>
        <w:t>nawcze obejmujące wszystkie części przewodzące jednocześnie dostępne, części przewo</w:t>
      </w:r>
      <w:r w:rsidRPr="00593865">
        <w:rPr>
          <w:rFonts w:asciiTheme="majorHAnsi" w:hAnsiTheme="majorHAnsi"/>
          <w:sz w:val="22"/>
          <w:szCs w:val="22"/>
        </w:rPr>
        <w:softHyphen/>
        <w:t>dzące obce oraz metalowe elementy konstrukcji.</w:t>
      </w:r>
    </w:p>
    <w:p w:rsidR="003E4665" w:rsidRPr="00593865" w:rsidRDefault="008F3F78" w:rsidP="00070957">
      <w:pPr>
        <w:jc w:val="both"/>
        <w:rPr>
          <w:rFonts w:asciiTheme="majorHAnsi" w:hAnsiTheme="majorHAnsi"/>
          <w:sz w:val="22"/>
          <w:szCs w:val="22"/>
        </w:rPr>
      </w:pPr>
      <w:r w:rsidRPr="00593865">
        <w:rPr>
          <w:rFonts w:asciiTheme="majorHAnsi" w:hAnsiTheme="majorHAnsi"/>
          <w:sz w:val="22"/>
          <w:szCs w:val="22"/>
        </w:rPr>
        <w:t>W sieciach typu TT urządzenia różnicowoprądowe zapewniają skuteczną ochronę przed do</w:t>
      </w:r>
      <w:r w:rsidRPr="00593865">
        <w:rPr>
          <w:rFonts w:asciiTheme="majorHAnsi" w:hAnsiTheme="majorHAnsi"/>
          <w:sz w:val="22"/>
          <w:szCs w:val="22"/>
        </w:rPr>
        <w:softHyphen/>
        <w:t>tykiem pośrednim, niezależnie od mocy zainstal</w:t>
      </w:r>
      <w:r w:rsidR="00094AE4" w:rsidRPr="00593865">
        <w:rPr>
          <w:rFonts w:asciiTheme="majorHAnsi" w:hAnsiTheme="majorHAnsi"/>
          <w:sz w:val="22"/>
          <w:szCs w:val="22"/>
        </w:rPr>
        <w:t xml:space="preserve">owanych odbiorników i urządzeń </w:t>
      </w:r>
      <w:r w:rsidRPr="00593865">
        <w:rPr>
          <w:rFonts w:asciiTheme="majorHAnsi" w:hAnsiTheme="majorHAnsi"/>
          <w:sz w:val="22"/>
          <w:szCs w:val="22"/>
        </w:rPr>
        <w:t>.</w:t>
      </w:r>
    </w:p>
    <w:sectPr w:rsidR="003E4665" w:rsidRPr="00593865" w:rsidSect="00070957">
      <w:type w:val="continuous"/>
      <w:pgSz w:w="8400" w:h="11900"/>
      <w:pgMar w:top="993" w:right="887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91" w:rsidRDefault="00CF7691" w:rsidP="003E4665">
      <w:r>
        <w:separator/>
      </w:r>
    </w:p>
  </w:endnote>
  <w:endnote w:type="continuationSeparator" w:id="1">
    <w:p w:rsidR="00CF7691" w:rsidRDefault="00CF7691" w:rsidP="003E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91" w:rsidRDefault="00CF7691"/>
  </w:footnote>
  <w:footnote w:type="continuationSeparator" w:id="1">
    <w:p w:rsidR="00CF7691" w:rsidRDefault="00CF76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42C"/>
    <w:multiLevelType w:val="multilevel"/>
    <w:tmpl w:val="B4468F1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13549"/>
    <w:multiLevelType w:val="hybridMultilevel"/>
    <w:tmpl w:val="0492A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9324D"/>
    <w:multiLevelType w:val="multilevel"/>
    <w:tmpl w:val="C53C03F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4665"/>
    <w:rsid w:val="00070957"/>
    <w:rsid w:val="00094AE4"/>
    <w:rsid w:val="003E4665"/>
    <w:rsid w:val="00573CB4"/>
    <w:rsid w:val="00593865"/>
    <w:rsid w:val="008F3F78"/>
    <w:rsid w:val="00C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46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E4665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3E466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3E466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3E466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3E4665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Sylfaen14ptBezpogrubienia">
    <w:name w:val="Nagłówek #1 + Sylfaen;14 pt;Bez pogrubienia"/>
    <w:basedOn w:val="Nagwek1"/>
    <w:rsid w:val="003E4665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1">
    <w:name w:val="Tekst treści (2)"/>
    <w:basedOn w:val="Teksttreci2"/>
    <w:rsid w:val="003E466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E466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3E466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Maelitery">
    <w:name w:val="Tekst treści (2) + Kursywa;Małe litery"/>
    <w:basedOn w:val="Teksttreci2"/>
    <w:rsid w:val="003E4665"/>
    <w:rPr>
      <w:i/>
      <w:iCs/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3E4665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95ptMaelitery">
    <w:name w:val="Tekst treści (2) + 9;5 pt;Małe litery"/>
    <w:basedOn w:val="Teksttreci2"/>
    <w:rsid w:val="003E4665"/>
    <w:rPr>
      <w:smallCap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9ptMaelitery">
    <w:name w:val="Tekst treści (2) + 9 pt;Małe litery"/>
    <w:basedOn w:val="Teksttreci2"/>
    <w:rsid w:val="003E4665"/>
    <w:rPr>
      <w:smallCap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3E4665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3E4665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E466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Calibri">
    <w:name w:val="Pogrubienie;Tekst treści (2) + Calibri"/>
    <w:basedOn w:val="Teksttreci2"/>
    <w:rsid w:val="003E466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4665"/>
    <w:pPr>
      <w:shd w:val="clear" w:color="auto" w:fill="FFFFFF"/>
      <w:spacing w:before="660" w:after="300" w:line="0" w:lineRule="atLeast"/>
      <w:ind w:hanging="46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3E466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3E4665"/>
    <w:pPr>
      <w:shd w:val="clear" w:color="auto" w:fill="FFFFFF"/>
      <w:spacing w:before="300" w:after="300" w:line="317" w:lineRule="exact"/>
      <w:ind w:hanging="720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40">
    <w:name w:val="Tekst treści (4)"/>
    <w:basedOn w:val="Normalny"/>
    <w:link w:val="Teksttreci4"/>
    <w:rsid w:val="003E4665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E4665"/>
    <w:pPr>
      <w:shd w:val="clear" w:color="auto" w:fill="FFFFFF"/>
      <w:spacing w:line="178" w:lineRule="exact"/>
      <w:jc w:val="both"/>
    </w:pPr>
    <w:rPr>
      <w:rFonts w:ascii="Sylfaen" w:eastAsia="Sylfaen" w:hAnsi="Sylfaen" w:cs="Sylfaen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9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8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86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acujemyzsz3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2020-05-03T09:48:00Z</dcterms:created>
  <dcterms:modified xsi:type="dcterms:W3CDTF">2020-05-03T18:58:00Z</dcterms:modified>
</cp:coreProperties>
</file>