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03" w:rsidRDefault="001922DC" w:rsidP="00484A64">
      <w:pPr>
        <w:jc w:val="both"/>
        <w:rPr>
          <w:rFonts w:asciiTheme="minorHAnsi" w:hAnsiTheme="minorHAnsi" w:cstheme="minorHAnsi"/>
          <w:b/>
          <w:sz w:val="44"/>
          <w:szCs w:val="44"/>
        </w:rPr>
      </w:pPr>
      <w:bookmarkStart w:id="0" w:name="bookmark0"/>
      <w:r w:rsidRPr="00484A64">
        <w:rPr>
          <w:rFonts w:asciiTheme="minorHAnsi" w:hAnsiTheme="minorHAnsi" w:cstheme="minorHAnsi"/>
          <w:b/>
          <w:sz w:val="44"/>
          <w:szCs w:val="44"/>
        </w:rPr>
        <w:t>Izolowanie stanowiska</w:t>
      </w:r>
      <w:bookmarkEnd w:id="0"/>
    </w:p>
    <w:p w:rsidR="00484A64" w:rsidRDefault="00484A64" w:rsidP="00484A64">
      <w:pPr>
        <w:jc w:val="both"/>
        <w:rPr>
          <w:rFonts w:asciiTheme="minorHAnsi" w:hAnsiTheme="minorHAnsi" w:cstheme="minorHAnsi"/>
          <w:b/>
          <w:sz w:val="44"/>
          <w:szCs w:val="44"/>
        </w:rPr>
      </w:pPr>
    </w:p>
    <w:p w:rsidR="00484A64" w:rsidRPr="00484A64" w:rsidRDefault="00484A64" w:rsidP="00484A64">
      <w:pPr>
        <w:jc w:val="both"/>
        <w:rPr>
          <w:rFonts w:asciiTheme="minorHAnsi" w:hAnsiTheme="minorHAnsi" w:cstheme="minorHAnsi"/>
          <w:b/>
          <w:sz w:val="44"/>
          <w:szCs w:val="44"/>
        </w:rPr>
      </w:pP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Izolowanie stanowiska chroni przed skutkami dotyku części przewodzących jednocześnie dostępnych, które mogą się znaleźć pod niebezpiecznym napięciem w wyniku uszkodze</w:t>
      </w:r>
      <w:r w:rsidRPr="00484A64">
        <w:rPr>
          <w:rFonts w:asciiTheme="minorHAnsi" w:hAnsiTheme="minorHAnsi" w:cstheme="minorHAnsi"/>
          <w:sz w:val="22"/>
          <w:szCs w:val="22"/>
        </w:rPr>
        <w:softHyphen/>
        <w:t xml:space="preserve">nia izolacji podstawowej części przewodzących czynnych instalacji </w:t>
      </w:r>
      <w:r w:rsidR="00484A64">
        <w:rPr>
          <w:rFonts w:asciiTheme="minorHAnsi" w:hAnsiTheme="minorHAnsi" w:cstheme="minorHAnsi"/>
          <w:sz w:val="22"/>
          <w:szCs w:val="22"/>
        </w:rPr>
        <w:t>lub urządzeń</w:t>
      </w:r>
      <w:r w:rsidRPr="00484A64">
        <w:rPr>
          <w:rFonts w:asciiTheme="minorHAnsi" w:hAnsiTheme="minorHAnsi" w:cstheme="minorHAnsi"/>
          <w:sz w:val="22"/>
          <w:szCs w:val="22"/>
        </w:rPr>
        <w:t>. Może być stosowane tylko w pomieszczeniach, które mają izolowane ściany i podłogi.</w:t>
      </w:r>
    </w:p>
    <w:p w:rsidR="00484A64" w:rsidRDefault="00484A64" w:rsidP="00484A64">
      <w:pPr>
        <w:jc w:val="both"/>
        <w:rPr>
          <w:rFonts w:asciiTheme="minorHAnsi" w:hAnsiTheme="minorHAnsi" w:cstheme="minorHAnsi"/>
          <w:sz w:val="22"/>
          <w:szCs w:val="22"/>
        </w:rPr>
      </w:pP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Nie wolno na izolowanych stanowiskach używać urządzeń I klasy ochronności wyposa</w:t>
      </w:r>
      <w:r w:rsidRPr="00484A64">
        <w:rPr>
          <w:rFonts w:asciiTheme="minorHAnsi" w:hAnsiTheme="minorHAnsi" w:cstheme="minorHAnsi"/>
          <w:sz w:val="22"/>
          <w:szCs w:val="22"/>
        </w:rPr>
        <w:softHyphen/>
        <w:t>żonych w styk ochronny do połączenia z uziemionym prze</w:t>
      </w:r>
      <w:r w:rsidRPr="00484A64">
        <w:rPr>
          <w:rFonts w:asciiTheme="minorHAnsi" w:hAnsiTheme="minorHAnsi" w:cstheme="minorHAnsi"/>
          <w:sz w:val="22"/>
          <w:szCs w:val="22"/>
        </w:rPr>
        <w:t xml:space="preserve">wodem ochronnym PE. Przez izolowane stanowiska nie wolno również prowadzić żadnych instalacji przewodzącymi rurami. Na izolowanym stanowisku nie mogą się też znajdować żadne uziomy naturalne bądź sztuczne. Należy również zadbać, aby warunki środowiskowe w </w:t>
      </w:r>
      <w:r w:rsidRPr="00484A64">
        <w:rPr>
          <w:rFonts w:asciiTheme="minorHAnsi" w:hAnsiTheme="minorHAnsi" w:cstheme="minorHAnsi"/>
          <w:sz w:val="22"/>
          <w:szCs w:val="22"/>
        </w:rPr>
        <w:t>pomieszczeniu nie wpływały na zmniejszenie rezystancji stanowiska poniżej dopuszczalnych wartości.</w:t>
      </w:r>
    </w:p>
    <w:p w:rsidR="00B46303" w:rsidRPr="00484A64" w:rsidRDefault="00484A64" w:rsidP="00484A64">
      <w:pPr>
        <w:jc w:val="both"/>
        <w:rPr>
          <w:rFonts w:asciiTheme="minorHAnsi" w:hAnsiTheme="minorHAnsi" w:cstheme="minorHAnsi"/>
          <w:sz w:val="22"/>
          <w:szCs w:val="22"/>
        </w:rPr>
      </w:pPr>
      <w:r>
        <w:rPr>
          <w:rFonts w:asciiTheme="minorHAnsi" w:hAnsiTheme="minorHAnsi" w:cstheme="minorHAnsi"/>
          <w:noProof/>
          <w:sz w:val="22"/>
          <w:szCs w:val="22"/>
          <w:lang w:bidi="ar-SA"/>
        </w:rPr>
        <w:drawing>
          <wp:inline distT="0" distB="0" distL="0" distR="0">
            <wp:extent cx="4140200" cy="219405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140200" cy="2194050"/>
                    </a:xfrm>
                    <a:prstGeom prst="rect">
                      <a:avLst/>
                    </a:prstGeom>
                    <a:noFill/>
                    <a:ln w="9525">
                      <a:noFill/>
                      <a:miter lim="800000"/>
                      <a:headEnd/>
                      <a:tailEnd/>
                    </a:ln>
                  </pic:spPr>
                </pic:pic>
              </a:graphicData>
            </a:graphic>
          </wp:inline>
        </w:drawing>
      </w:r>
    </w:p>
    <w:p w:rsidR="00B46303" w:rsidRPr="00484A64" w:rsidRDefault="001922DC" w:rsidP="00484A64">
      <w:pPr>
        <w:jc w:val="both"/>
        <w:rPr>
          <w:rFonts w:asciiTheme="minorHAnsi" w:hAnsiTheme="minorHAnsi" w:cstheme="minorHAnsi"/>
          <w:sz w:val="18"/>
          <w:szCs w:val="18"/>
        </w:rPr>
      </w:pPr>
      <w:r w:rsidRPr="00484A64">
        <w:rPr>
          <w:rFonts w:asciiTheme="minorHAnsi" w:hAnsiTheme="minorHAnsi" w:cstheme="minorHAnsi"/>
          <w:sz w:val="18"/>
          <w:szCs w:val="18"/>
        </w:rPr>
        <w:t>Ochrona prze</w:t>
      </w:r>
      <w:r w:rsidRPr="00484A64">
        <w:rPr>
          <w:rFonts w:asciiTheme="minorHAnsi" w:hAnsiTheme="minorHAnsi" w:cstheme="minorHAnsi"/>
          <w:sz w:val="18"/>
          <w:szCs w:val="18"/>
        </w:rPr>
        <w:t>z zastosowanie izolowania stanowiska: podłoga i ściany izolacyjne</w:t>
      </w:r>
    </w:p>
    <w:p w:rsidR="00B46303" w:rsidRPr="00484A64" w:rsidRDefault="00B46303" w:rsidP="00484A64">
      <w:pPr>
        <w:jc w:val="both"/>
        <w:rPr>
          <w:rFonts w:asciiTheme="minorHAnsi" w:hAnsiTheme="minorHAnsi" w:cstheme="minorHAnsi"/>
          <w:sz w:val="22"/>
          <w:szCs w:val="22"/>
        </w:rPr>
      </w:pPr>
    </w:p>
    <w:p w:rsidR="00484A64" w:rsidRDefault="00484A64" w:rsidP="00484A64">
      <w:pPr>
        <w:jc w:val="both"/>
        <w:rPr>
          <w:rFonts w:asciiTheme="minorHAnsi" w:hAnsiTheme="minorHAnsi" w:cstheme="minorHAnsi"/>
          <w:sz w:val="22"/>
          <w:szCs w:val="22"/>
        </w:rPr>
      </w:pP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lastRenderedPageBreak/>
        <w:t>Rezystancja izolacji stanowiska w obwodach do 500 V prądu przemiennego i 750 V prądu stałego powinna wynosić co najmniej 50 k</w:t>
      </w:r>
      <w:r w:rsidR="00484A64">
        <w:rPr>
          <w:rFonts w:ascii="Symbol" w:hAnsi="Symbol" w:cstheme="minorHAnsi"/>
          <w:sz w:val="22"/>
          <w:szCs w:val="22"/>
        </w:rPr>
        <w:t></w:t>
      </w:r>
      <w:r w:rsidRPr="00484A64">
        <w:rPr>
          <w:rFonts w:asciiTheme="minorHAnsi" w:hAnsiTheme="minorHAnsi" w:cstheme="minorHAnsi"/>
          <w:sz w:val="22"/>
          <w:szCs w:val="22"/>
        </w:rPr>
        <w:t>. Powyżej tych wartości napięć rezystancja izo</w:t>
      </w:r>
      <w:r w:rsidRPr="00484A64">
        <w:rPr>
          <w:rFonts w:asciiTheme="minorHAnsi" w:hAnsiTheme="minorHAnsi" w:cstheme="minorHAnsi"/>
          <w:sz w:val="22"/>
          <w:szCs w:val="22"/>
        </w:rPr>
        <w:softHyphen/>
        <w:t>lowa</w:t>
      </w:r>
      <w:r w:rsidRPr="00484A64">
        <w:rPr>
          <w:rFonts w:asciiTheme="minorHAnsi" w:hAnsiTheme="minorHAnsi" w:cstheme="minorHAnsi"/>
          <w:sz w:val="22"/>
          <w:szCs w:val="22"/>
        </w:rPr>
        <w:t>nego stanowiska powinna wynosić co najmniej 100 k</w:t>
      </w:r>
      <w:r w:rsidR="00484A64">
        <w:rPr>
          <w:rFonts w:ascii="Symbol" w:hAnsi="Symbol" w:cstheme="minorHAnsi"/>
          <w:sz w:val="22"/>
          <w:szCs w:val="22"/>
        </w:rPr>
        <w:t></w:t>
      </w:r>
      <w:r w:rsidRPr="00484A64">
        <w:rPr>
          <w:rFonts w:asciiTheme="minorHAnsi" w:hAnsiTheme="minorHAnsi" w:cstheme="minorHAnsi"/>
          <w:sz w:val="22"/>
          <w:szCs w:val="22"/>
        </w:rPr>
        <w:t>.</w:t>
      </w: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O skuteczności ochrony decyduje również:</w:t>
      </w: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zachowanie odległości między urządzeniami (częściami przewodzącymi dostępnymi) nie mniejszej niż 2 m, z tym, że odległość ta może wynosić 1,25 m, jeżeli nie ma moż</w:t>
      </w:r>
      <w:r w:rsidRPr="00484A64">
        <w:rPr>
          <w:rFonts w:asciiTheme="minorHAnsi" w:hAnsiTheme="minorHAnsi" w:cstheme="minorHAnsi"/>
          <w:sz w:val="22"/>
          <w:szCs w:val="22"/>
        </w:rPr>
        <w:softHyphen/>
        <w:t>liwości w normalnych warunkach dotknięcia dwóch części przewodzących dostępnych lub jednej dostępnej i obcej;</w:t>
      </w: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stosowanie odpowiednich barier między częściami przewodzącymi dostępnymi i obcy</w:t>
      </w:r>
      <w:r w:rsidRPr="00484A64">
        <w:rPr>
          <w:rFonts w:asciiTheme="minorHAnsi" w:hAnsiTheme="minorHAnsi" w:cstheme="minorHAnsi"/>
          <w:sz w:val="22"/>
          <w:szCs w:val="22"/>
        </w:rPr>
        <w:softHyphen/>
        <w:t>mi, które zwiększają odległość do wartości określonych wcześniej;</w:t>
      </w:r>
    </w:p>
    <w:p w:rsidR="00B46303" w:rsidRPr="00484A64" w:rsidRDefault="001922DC" w:rsidP="00484A64">
      <w:pPr>
        <w:jc w:val="both"/>
        <w:rPr>
          <w:rFonts w:asciiTheme="minorHAnsi" w:hAnsiTheme="minorHAnsi" w:cstheme="minorHAnsi"/>
          <w:sz w:val="22"/>
          <w:szCs w:val="22"/>
        </w:rPr>
      </w:pPr>
      <w:r w:rsidRPr="00484A64">
        <w:rPr>
          <w:rFonts w:asciiTheme="minorHAnsi" w:hAnsiTheme="minorHAnsi" w:cstheme="minorHAnsi"/>
          <w:sz w:val="22"/>
          <w:szCs w:val="22"/>
        </w:rPr>
        <w:t>stosowanie izolacji na częściach przewodzących obcych spełniającej wymogi rezystancji dla napięcia 2000 V oraz odpowiedniej wytrzymałości mechanicznej.</w:t>
      </w:r>
    </w:p>
    <w:sectPr w:rsidR="00B46303" w:rsidRPr="00484A64" w:rsidSect="00484A64">
      <w:pgSz w:w="8400" w:h="11900"/>
      <w:pgMar w:top="993" w:right="1029" w:bottom="993"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DC" w:rsidRDefault="001922DC" w:rsidP="00B46303">
      <w:r>
        <w:separator/>
      </w:r>
    </w:p>
  </w:endnote>
  <w:endnote w:type="continuationSeparator" w:id="1">
    <w:p w:rsidR="001922DC" w:rsidRDefault="001922DC" w:rsidP="00B46303">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DC" w:rsidRDefault="001922DC"/>
  </w:footnote>
  <w:footnote w:type="continuationSeparator" w:id="1">
    <w:p w:rsidR="001922DC" w:rsidRDefault="001922D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BE1"/>
    <w:multiLevelType w:val="multilevel"/>
    <w:tmpl w:val="43D6DF2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46303"/>
    <w:rsid w:val="001922DC"/>
    <w:rsid w:val="00484A64"/>
    <w:rsid w:val="00B463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630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46303"/>
    <w:rPr>
      <w:color w:val="0066CC"/>
      <w:u w:val="single"/>
    </w:rPr>
  </w:style>
  <w:style w:type="character" w:customStyle="1" w:styleId="Nagwek12">
    <w:name w:val="Nagłówek #1 (2)_"/>
    <w:basedOn w:val="Domylnaczcionkaakapitu"/>
    <w:link w:val="Nagwek120"/>
    <w:rsid w:val="00B46303"/>
    <w:rPr>
      <w:rFonts w:ascii="Calibri" w:eastAsia="Calibri" w:hAnsi="Calibri" w:cs="Calibri"/>
      <w:b/>
      <w:bCs/>
      <w:i w:val="0"/>
      <w:iCs w:val="0"/>
      <w:smallCaps w:val="0"/>
      <w:strike w:val="0"/>
      <w:spacing w:val="0"/>
      <w:sz w:val="60"/>
      <w:szCs w:val="60"/>
      <w:u w:val="none"/>
    </w:rPr>
  </w:style>
  <w:style w:type="character" w:customStyle="1" w:styleId="Teksttreci7">
    <w:name w:val="Tekst treści (7)_"/>
    <w:basedOn w:val="Domylnaczcionkaakapitu"/>
    <w:link w:val="Teksttreci70"/>
    <w:rsid w:val="00B46303"/>
    <w:rPr>
      <w:rFonts w:ascii="Palatino Linotype" w:eastAsia="Palatino Linotype" w:hAnsi="Palatino Linotype" w:cs="Palatino Linotype"/>
      <w:b w:val="0"/>
      <w:bCs w:val="0"/>
      <w:i w:val="0"/>
      <w:iCs w:val="0"/>
      <w:smallCaps w:val="0"/>
      <w:strike w:val="0"/>
      <w:sz w:val="18"/>
      <w:szCs w:val="18"/>
      <w:u w:val="none"/>
    </w:rPr>
  </w:style>
  <w:style w:type="character" w:customStyle="1" w:styleId="Nagwek22">
    <w:name w:val="Nagłówek #2 (2)_"/>
    <w:basedOn w:val="Domylnaczcionkaakapitu"/>
    <w:link w:val="Nagwek220"/>
    <w:rsid w:val="00B46303"/>
    <w:rPr>
      <w:rFonts w:ascii="Palatino Linotype" w:eastAsia="Palatino Linotype" w:hAnsi="Palatino Linotype" w:cs="Palatino Linotype"/>
      <w:b/>
      <w:bCs/>
      <w:i w:val="0"/>
      <w:iCs w:val="0"/>
      <w:smallCaps w:val="0"/>
      <w:strike w:val="0"/>
      <w:sz w:val="26"/>
      <w:szCs w:val="26"/>
      <w:u w:val="none"/>
    </w:rPr>
  </w:style>
  <w:style w:type="character" w:customStyle="1" w:styleId="Nagwek221">
    <w:name w:val="Nagłówek #2 (2)"/>
    <w:basedOn w:val="Nagwek22"/>
    <w:rsid w:val="00B46303"/>
    <w:rPr>
      <w:color w:val="000000"/>
      <w:spacing w:val="0"/>
      <w:w w:val="100"/>
      <w:position w:val="0"/>
      <w:lang w:val="pl-PL" w:eastAsia="pl-PL" w:bidi="pl-PL"/>
    </w:rPr>
  </w:style>
  <w:style w:type="character" w:customStyle="1" w:styleId="Podpisobrazu2">
    <w:name w:val="Podpis obrazu (2)_"/>
    <w:basedOn w:val="Domylnaczcionkaakapitu"/>
    <w:link w:val="Podpisobrazu20"/>
    <w:rsid w:val="00B46303"/>
    <w:rPr>
      <w:rFonts w:ascii="Segoe UI" w:eastAsia="Segoe UI" w:hAnsi="Segoe UI" w:cs="Segoe UI"/>
      <w:b/>
      <w:bCs/>
      <w:i w:val="0"/>
      <w:iCs w:val="0"/>
      <w:smallCaps w:val="0"/>
      <w:strike w:val="0"/>
      <w:sz w:val="16"/>
      <w:szCs w:val="16"/>
      <w:u w:val="none"/>
    </w:rPr>
  </w:style>
  <w:style w:type="character" w:customStyle="1" w:styleId="Podpisobrazu2PalatinoLinotype85ptBezpogrubienia">
    <w:name w:val="Podpis obrazu (2) + Palatino Linotype;8;5 pt;Bez pogrubienia"/>
    <w:basedOn w:val="Podpisobrazu2"/>
    <w:rsid w:val="00B46303"/>
    <w:rPr>
      <w:rFonts w:ascii="Palatino Linotype" w:eastAsia="Palatino Linotype" w:hAnsi="Palatino Linotype" w:cs="Palatino Linotype"/>
      <w:b/>
      <w:bCs/>
      <w:color w:val="000000"/>
      <w:spacing w:val="0"/>
      <w:w w:val="100"/>
      <w:position w:val="0"/>
      <w:sz w:val="17"/>
      <w:szCs w:val="17"/>
      <w:lang w:val="pl-PL" w:eastAsia="pl-PL" w:bidi="pl-PL"/>
    </w:rPr>
  </w:style>
  <w:style w:type="character" w:customStyle="1" w:styleId="Podpisobrazu2PalatinoLinotype85ptBezpogrubienia0">
    <w:name w:val="Podpis obrazu (2) + Palatino Linotype;8;5 pt;Bez pogrubienia"/>
    <w:basedOn w:val="Podpisobrazu2"/>
    <w:rsid w:val="00B46303"/>
    <w:rPr>
      <w:rFonts w:ascii="Palatino Linotype" w:eastAsia="Palatino Linotype" w:hAnsi="Palatino Linotype" w:cs="Palatino Linotype"/>
      <w:b/>
      <w:bCs/>
      <w:color w:val="000000"/>
      <w:spacing w:val="0"/>
      <w:w w:val="100"/>
      <w:position w:val="0"/>
      <w:sz w:val="17"/>
      <w:szCs w:val="17"/>
      <w:lang w:val="pl-PL" w:eastAsia="pl-PL" w:bidi="pl-PL"/>
    </w:rPr>
  </w:style>
  <w:style w:type="character" w:customStyle="1" w:styleId="Teksttreci71">
    <w:name w:val="Tekst treści (7)"/>
    <w:basedOn w:val="Teksttreci7"/>
    <w:rsid w:val="00B46303"/>
    <w:rPr>
      <w:color w:val="000000"/>
      <w:spacing w:val="0"/>
      <w:w w:val="100"/>
      <w:position w:val="0"/>
      <w:lang w:val="pl-PL" w:eastAsia="pl-PL" w:bidi="pl-PL"/>
    </w:rPr>
  </w:style>
  <w:style w:type="paragraph" w:customStyle="1" w:styleId="Nagwek120">
    <w:name w:val="Nagłówek #1 (2)"/>
    <w:basedOn w:val="Normalny"/>
    <w:link w:val="Nagwek12"/>
    <w:rsid w:val="00B46303"/>
    <w:pPr>
      <w:shd w:val="clear" w:color="auto" w:fill="FFFFFF"/>
      <w:spacing w:after="2280" w:line="0" w:lineRule="atLeast"/>
      <w:jc w:val="right"/>
      <w:outlineLvl w:val="0"/>
    </w:pPr>
    <w:rPr>
      <w:rFonts w:ascii="Calibri" w:eastAsia="Calibri" w:hAnsi="Calibri" w:cs="Calibri"/>
      <w:b/>
      <w:bCs/>
      <w:sz w:val="60"/>
      <w:szCs w:val="60"/>
    </w:rPr>
  </w:style>
  <w:style w:type="paragraph" w:customStyle="1" w:styleId="Teksttreci70">
    <w:name w:val="Tekst treści (7)"/>
    <w:basedOn w:val="Normalny"/>
    <w:link w:val="Teksttreci7"/>
    <w:rsid w:val="00B46303"/>
    <w:pPr>
      <w:shd w:val="clear" w:color="auto" w:fill="FFFFFF"/>
      <w:spacing w:before="2280" w:after="420" w:line="240" w:lineRule="exact"/>
      <w:ind w:hanging="240"/>
      <w:jc w:val="both"/>
    </w:pPr>
    <w:rPr>
      <w:rFonts w:ascii="Palatino Linotype" w:eastAsia="Palatino Linotype" w:hAnsi="Palatino Linotype" w:cs="Palatino Linotype"/>
      <w:sz w:val="18"/>
      <w:szCs w:val="18"/>
    </w:rPr>
  </w:style>
  <w:style w:type="paragraph" w:customStyle="1" w:styleId="Nagwek220">
    <w:name w:val="Nagłówek #2 (2)"/>
    <w:basedOn w:val="Normalny"/>
    <w:link w:val="Nagwek22"/>
    <w:rsid w:val="00B46303"/>
    <w:pPr>
      <w:shd w:val="clear" w:color="auto" w:fill="FFFFFF"/>
      <w:spacing w:before="420" w:after="180" w:line="0" w:lineRule="atLeast"/>
      <w:jc w:val="both"/>
      <w:outlineLvl w:val="1"/>
    </w:pPr>
    <w:rPr>
      <w:rFonts w:ascii="Palatino Linotype" w:eastAsia="Palatino Linotype" w:hAnsi="Palatino Linotype" w:cs="Palatino Linotype"/>
      <w:b/>
      <w:bCs/>
      <w:sz w:val="26"/>
      <w:szCs w:val="26"/>
    </w:rPr>
  </w:style>
  <w:style w:type="paragraph" w:customStyle="1" w:styleId="Podpisobrazu20">
    <w:name w:val="Podpis obrazu (2)"/>
    <w:basedOn w:val="Normalny"/>
    <w:link w:val="Podpisobrazu2"/>
    <w:rsid w:val="00B46303"/>
    <w:pPr>
      <w:shd w:val="clear" w:color="auto" w:fill="FFFFFF"/>
      <w:spacing w:line="0" w:lineRule="atLeast"/>
    </w:pPr>
    <w:rPr>
      <w:rFonts w:ascii="Segoe UI" w:eastAsia="Segoe UI" w:hAnsi="Segoe UI" w:cs="Segoe UI"/>
      <w:b/>
      <w:bCs/>
      <w:sz w:val="16"/>
      <w:szCs w:val="16"/>
    </w:rPr>
  </w:style>
  <w:style w:type="paragraph" w:styleId="Tekstdymka">
    <w:name w:val="Balloon Text"/>
    <w:basedOn w:val="Normalny"/>
    <w:link w:val="TekstdymkaZnak"/>
    <w:uiPriority w:val="99"/>
    <w:semiHidden/>
    <w:unhideWhenUsed/>
    <w:rsid w:val="00484A64"/>
    <w:rPr>
      <w:rFonts w:ascii="Tahoma" w:hAnsi="Tahoma" w:cs="Tahoma"/>
      <w:sz w:val="16"/>
      <w:szCs w:val="16"/>
    </w:rPr>
  </w:style>
  <w:style w:type="character" w:customStyle="1" w:styleId="TekstdymkaZnak">
    <w:name w:val="Tekst dymka Znak"/>
    <w:basedOn w:val="Domylnaczcionkaakapitu"/>
    <w:link w:val="Tekstdymka"/>
    <w:uiPriority w:val="99"/>
    <w:semiHidden/>
    <w:rsid w:val="00484A6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1517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mskub</dc:creator>
  <cp:lastModifiedBy>mskub</cp:lastModifiedBy>
  <cp:revision>1</cp:revision>
  <dcterms:created xsi:type="dcterms:W3CDTF">2020-05-31T19:06:00Z</dcterms:created>
  <dcterms:modified xsi:type="dcterms:W3CDTF">2020-05-31T19:12:00Z</dcterms:modified>
</cp:coreProperties>
</file>